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-2647927</wp:posOffset>
            </wp:positionH>
            <wp:positionV relativeFrom="paragraph">
              <wp:posOffset>-914375</wp:posOffset>
            </wp:positionV>
            <wp:extent cx="5732145" cy="4373880"/>
            <wp:effectExtent b="0" l="0" r="0" t="0"/>
            <wp:wrapNone/>
            <wp:docPr id="1597007114"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-389865</wp:posOffset>
            </wp:positionH>
            <wp:positionV relativeFrom="paragraph">
              <wp:posOffset>-514322</wp:posOffset>
            </wp:positionV>
            <wp:extent cx="3048000" cy="834853"/>
            <wp:effectExtent b="0" l="0" r="0" t="0"/>
            <wp:wrapNone/>
            <wp:docPr id="1597007115"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469900</wp:posOffset>
                </wp:positionH>
                <wp:positionV relativeFrom="paragraph">
                  <wp:posOffset>45720</wp:posOffset>
                </wp:positionV>
                <wp:extent cx="4609465" cy="851535"/>
                <wp:effectExtent b="0" l="0" r="0" t="0"/>
                <wp:wrapSquare wrapText="bothSides" distB="45720" distT="45720" distL="114300" distR="114300"/>
                <wp:docPr id="1597007112"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PIANO DI LEZIONE</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469900</wp:posOffset>
                </wp:positionH>
                <wp:positionV relativeFrom="paragraph">
                  <wp:posOffset>45720</wp:posOffset>
                </wp:positionV>
                <wp:extent cx="4609465" cy="851535"/>
                <wp:effectExtent b="0" l="0" r="0" t="0"/>
                <wp:wrapSquare wrapText="bothSides" distB="45720" distT="45720" distL="114300" distR="114300"/>
                <wp:docPr id="1597007112"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609465" cy="85153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279400</wp:posOffset>
                </wp:positionH>
                <wp:positionV relativeFrom="paragraph">
                  <wp:posOffset>45720</wp:posOffset>
                </wp:positionV>
                <wp:extent cx="4867275" cy="1125855"/>
                <wp:effectExtent b="0" l="0" r="0" t="0"/>
                <wp:wrapSquare wrapText="bothSides" distB="45720" distT="45720" distL="114300" distR="114300"/>
                <wp:docPr id="1597007111"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Formazione del personale docente per una didattica dell’informatica autentica e inclusiva in termini di genere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279400</wp:posOffset>
                </wp:positionH>
                <wp:positionV relativeFrom="paragraph">
                  <wp:posOffset>45720</wp:posOffset>
                </wp:positionV>
                <wp:extent cx="4867275" cy="1125855"/>
                <wp:effectExtent b="0" l="0" r="0" t="0"/>
                <wp:wrapSquare wrapText="bothSides" distB="45720" distT="45720" distL="114300" distR="114300"/>
                <wp:docPr id="1597007111"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67275" cy="112585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117"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INFORMAZIONI GENERALI</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Modulo</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Modulo 8: Laboratorio: co-progettazione e valutazione degli scenari di apprendimento per l’insegnamento e la valutazione dell’informatica nella scuola primaria in base al quadro di TINKER</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Unità</w:t>
            </w:r>
          </w:p>
        </w:tc>
        <w:tc>
          <w:tcPr/>
          <w:p w:rsidR="00000000" w:rsidDel="00000000" w:rsidP="00000000" w:rsidRDefault="00000000" w:rsidRPr="00000000" w14:paraId="00000014">
            <w:pPr>
              <w:spacing w:after="160" w:line="259" w:lineRule="auto"/>
              <w:rPr>
                <w:i w:val="1"/>
              </w:rPr>
            </w:pPr>
            <w:r w:rsidDel="00000000" w:rsidR="00000000" w:rsidRPr="00000000">
              <w:rPr>
                <w:i w:val="1"/>
                <w:rtl w:val="0"/>
              </w:rPr>
              <w:t xml:space="preserve">8.5: Autoriflessione, presentazione del progetto e chiusura dell’evento</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Gruppo target</w:t>
            </w:r>
          </w:p>
        </w:tc>
        <w:tc>
          <w:tcPr/>
          <w:p w:rsidR="00000000" w:rsidDel="00000000" w:rsidP="00000000" w:rsidRDefault="00000000" w:rsidRPr="00000000" w14:paraId="00000016">
            <w:pPr>
              <w:rPr/>
            </w:pPr>
            <w:r w:rsidDel="00000000" w:rsidR="00000000" w:rsidRPr="00000000">
              <w:rPr>
                <w:rtl w:val="0"/>
              </w:rPr>
              <w:t xml:space="preserve">Personale docente/formatore della scuola primaria </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Durata</w:t>
            </w:r>
          </w:p>
        </w:tc>
        <w:tc>
          <w:tcPr/>
          <w:p w:rsidR="00000000" w:rsidDel="00000000" w:rsidP="00000000" w:rsidRDefault="00000000" w:rsidRPr="00000000" w14:paraId="00000018">
            <w:pPr>
              <w:rPr/>
            </w:pPr>
            <w:r w:rsidDel="00000000" w:rsidR="00000000" w:rsidRPr="00000000">
              <w:rPr>
                <w:rtl w:val="0"/>
              </w:rPr>
              <w:t xml:space="preserve">270 minuti (incluso il tempo dedicato allo studio autonomo)</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Prerequisiti</w:t>
            </w:r>
          </w:p>
        </w:tc>
        <w:tc>
          <w:tcPr/>
          <w:p w:rsidR="00000000" w:rsidDel="00000000" w:rsidP="00000000" w:rsidRDefault="00000000" w:rsidRPr="00000000" w14:paraId="0000001A">
            <w:pPr>
              <w:rPr/>
            </w:pPr>
            <w:r w:rsidDel="00000000" w:rsidR="00000000" w:rsidRPr="00000000">
              <w:rPr>
                <w:rtl w:val="0"/>
              </w:rPr>
              <w:t xml:space="preserve">Qualsiasi conoscenza o competenza di cui le e i discenti sono già in possesso.</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0,172</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RISULTATI DI APPRENDIMENTO</w:t>
            </w:r>
          </w:p>
        </w:tc>
      </w:tr>
      <w:tr>
        <w:trPr>
          <w:cantSplit w:val="0"/>
          <w:trHeight w:val="41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vAlign w:val="center"/>
          </w:tcPr>
          <w:p w:rsidR="00000000" w:rsidDel="00000000" w:rsidP="00000000" w:rsidRDefault="00000000" w:rsidRPr="00000000" w14:paraId="00000021">
            <w:pPr>
              <w:widowControl w:val="0"/>
              <w:spacing w:line="216" w:lineRule="auto"/>
              <w:rPr/>
            </w:pPr>
            <w:r w:rsidDel="00000000" w:rsidR="00000000" w:rsidRPr="00000000">
              <w:rPr>
                <w:rtl w:val="0"/>
              </w:rPr>
              <w:t xml:space="preserve">Sviluppare scenari di apprendimento chiari e significativi in linea con gli obiettivi del progetto e del programma.</w:t>
            </w:r>
          </w:p>
        </w:tc>
      </w:tr>
      <w:tr>
        <w:trPr>
          <w:cantSplit w:val="0"/>
          <w:trHeight w:val="41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widowControl w:val="0"/>
              <w:spacing w:line="216" w:lineRule="auto"/>
              <w:rPr/>
            </w:pPr>
            <w:r w:rsidDel="00000000" w:rsidR="00000000" w:rsidRPr="00000000">
              <w:rPr>
                <w:rtl w:val="0"/>
              </w:rPr>
              <w:t xml:space="preserve">Integrare le strategie di differenziazione e inclusione per rispondere alle diverse esigenze di apprendimento delle e dei discenti attraverso gli scenari di apprendimento </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METODI DI INSEGNAMENTO</w:t>
            </w:r>
          </w:p>
        </w:tc>
      </w:tr>
      <w:tr>
        <w:trPr>
          <w:cantSplit w:val="0"/>
          <w:trHeight w:val="410" w:hRule="atLeast"/>
          <w:tblHeader w:val="0"/>
        </w:trPr>
        <w:tc>
          <w:tcPr>
            <w:vAlign w:val="center"/>
          </w:tcPr>
          <w:p w:rsidR="00000000" w:rsidDel="00000000" w:rsidP="00000000" w:rsidRDefault="00000000" w:rsidRPr="00000000" w14:paraId="0000002B">
            <w:pPr>
              <w:jc w:val="center"/>
              <w:rPr/>
            </w:pPr>
            <w:r w:rsidDel="00000000" w:rsidR="00000000" w:rsidRPr="00000000">
              <w:rPr>
                <w:rtl w:val="0"/>
              </w:rPr>
              <w:t xml:space="preserve">√</w:t>
            </w:r>
          </w:p>
        </w:tc>
        <w:tc>
          <w:tcPr/>
          <w:p w:rsidR="00000000" w:rsidDel="00000000" w:rsidP="00000000" w:rsidRDefault="00000000" w:rsidRPr="00000000" w14:paraId="0000002C">
            <w:pPr>
              <w:rPr/>
            </w:pPr>
            <w:r w:rsidDel="00000000" w:rsidR="00000000" w:rsidRPr="00000000">
              <w:rPr>
                <w:i w:val="1"/>
                <w:color w:val="1d1d1b"/>
                <w:rtl w:val="0"/>
              </w:rPr>
              <w:t xml:space="preserve">Learning by doing</w:t>
            </w:r>
            <w:r w:rsidDel="00000000" w:rsidR="00000000" w:rsidRPr="00000000">
              <w:rPr>
                <w:rtl w:val="0"/>
              </w:rPr>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color w:val="1d1d1b"/>
                <w:rtl w:val="0"/>
              </w:rPr>
              <w:t xml:space="preserve">Apprendimento tra pari</w:t>
            </w:r>
            <w:r w:rsidDel="00000000" w:rsidR="00000000" w:rsidRPr="00000000">
              <w:rPr>
                <w:rtl w:val="0"/>
              </w:rPr>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rPr/>
            </w:pPr>
            <w:r w:rsidDel="00000000" w:rsidR="00000000" w:rsidRPr="00000000">
              <w:rPr>
                <w:color w:val="1d1d1b"/>
                <w:rtl w:val="0"/>
              </w:rPr>
              <w:t xml:space="preserve">Apprendimento basato su progetti</w:t>
            </w:r>
            <w:r w:rsidDel="00000000" w:rsidR="00000000" w:rsidRPr="00000000">
              <w:rPr>
                <w:rtl w:val="0"/>
              </w:rPr>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color w:val="1d1d1b"/>
                <w:rtl w:val="0"/>
              </w:rPr>
              <w:t xml:space="preserve">Apprendimento pratico</w:t>
            </w:r>
            <w:r w:rsidDel="00000000" w:rsidR="00000000" w:rsidRPr="00000000">
              <w:rPr>
                <w:rtl w:val="0"/>
              </w:rPr>
            </w:r>
          </w:p>
        </w:tc>
      </w:tr>
      <w:tr>
        <w:trPr>
          <w:cantSplit w:val="0"/>
          <w:trHeight w:val="409"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rPr/>
            </w:pPr>
            <w:r w:rsidDel="00000000" w:rsidR="00000000" w:rsidRPr="00000000">
              <w:rPr>
                <w:color w:val="1d1d1b"/>
                <w:rtl w:val="0"/>
              </w:rPr>
              <w:t xml:space="preserve">Strategie di apprendimento attivo</w:t>
            </w:r>
            <w:r w:rsidDel="00000000" w:rsidR="00000000" w:rsidRPr="00000000">
              <w:rPr>
                <w:rtl w:val="0"/>
              </w:rPr>
            </w:r>
          </w:p>
        </w:tc>
        <w:tc>
          <w:tcPr>
            <w:vAlign w:val="center"/>
          </w:tcPr>
          <w:p w:rsidR="00000000" w:rsidDel="00000000" w:rsidP="00000000" w:rsidRDefault="00000000" w:rsidRPr="00000000" w14:paraId="00000035">
            <w:pPr>
              <w:jc w:val="center"/>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color w:val="1d1d1b"/>
                <w:rtl w:val="0"/>
              </w:rPr>
              <w:t xml:space="preserve">Apprendimento collaborativo</w:t>
            </w:r>
            <w:r w:rsidDel="00000000" w:rsidR="00000000" w:rsidRPr="00000000">
              <w:rPr>
                <w:rtl w:val="0"/>
              </w:rPr>
            </w:r>
          </w:p>
        </w:tc>
      </w:tr>
      <w:tr>
        <w:trPr>
          <w:cantSplit w:val="0"/>
          <w:trHeight w:val="415"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color w:val="1d1d1b"/>
                <w:rtl w:val="0"/>
              </w:rPr>
              <w:t xml:space="preserve">Apprendimento ibrido</w:t>
            </w:r>
            <w:r w:rsidDel="00000000" w:rsidR="00000000" w:rsidRPr="00000000">
              <w:rPr>
                <w:rtl w:val="0"/>
              </w:rPr>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MATERIALE DIDATTICO</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Occorrente </w:t>
            </w:r>
            <w:r w:rsidDel="00000000" w:rsidR="00000000" w:rsidRPr="00000000">
              <w:rPr>
                <w:rtl w:val="0"/>
              </w:rPr>
            </w:r>
          </w:p>
        </w:tc>
        <w:tc>
          <w:tcPr/>
          <w:p w:rsidR="00000000" w:rsidDel="00000000" w:rsidP="00000000" w:rsidRDefault="00000000" w:rsidRPr="00000000" w14:paraId="0000003F">
            <w:pPr>
              <w:numPr>
                <w:ilvl w:val="0"/>
                <w:numId w:val="1"/>
              </w:numPr>
              <w:ind w:left="720" w:hanging="360"/>
              <w:rPr/>
            </w:pPr>
            <w:r w:rsidDel="00000000" w:rsidR="00000000" w:rsidRPr="00000000">
              <w:rPr>
                <w:rtl w:val="0"/>
              </w:rPr>
              <w:t xml:space="preserve">Presentazione PowerPoint</w:t>
            </w:r>
          </w:p>
          <w:p w:rsidR="00000000" w:rsidDel="00000000" w:rsidP="00000000" w:rsidRDefault="00000000" w:rsidRPr="00000000" w14:paraId="00000040">
            <w:pPr>
              <w:numPr>
                <w:ilvl w:val="0"/>
                <w:numId w:val="1"/>
              </w:numPr>
              <w:ind w:left="720" w:hanging="360"/>
              <w:rPr/>
            </w:pPr>
            <w:r w:rsidDel="00000000" w:rsidR="00000000" w:rsidRPr="00000000">
              <w:rPr>
                <w:rtl w:val="0"/>
              </w:rPr>
              <w:t xml:space="preserve">Modello per gli scenari di apprendimento (</w:t>
            </w:r>
            <w:hyperlink r:id="rId11">
              <w:r w:rsidDel="00000000" w:rsidR="00000000" w:rsidRPr="00000000">
                <w:rPr>
                  <w:color w:val="1155cc"/>
                  <w:u w:val="single"/>
                  <w:rtl w:val="0"/>
                </w:rPr>
                <w:t xml:space="preserve">LINK</w:t>
              </w:r>
            </w:hyperlink>
            <w:r w:rsidDel="00000000" w:rsidR="00000000" w:rsidRPr="00000000">
              <w:rPr>
                <w:rtl w:val="0"/>
              </w:rPr>
              <w:t xml:space="preserve">)</w:t>
            </w:r>
          </w:p>
        </w:tc>
      </w:tr>
      <w:tr>
        <w:trPr>
          <w:cantSplit w:val="0"/>
          <w:trHeight w:val="417" w:hRule="atLeast"/>
          <w:tblHeader w:val="0"/>
        </w:trPr>
        <w:tc>
          <w:tcPr/>
          <w:p w:rsidR="00000000" w:rsidDel="00000000" w:rsidP="00000000" w:rsidRDefault="00000000" w:rsidRPr="00000000" w14:paraId="00000041">
            <w:pPr>
              <w:rPr/>
            </w:pPr>
            <w:r w:rsidDel="00000000" w:rsidR="00000000" w:rsidRPr="00000000">
              <w:rPr>
                <w:rtl w:val="0"/>
              </w:rPr>
              <w:t xml:space="preserve">Risorse aggiuntive</w:t>
            </w:r>
          </w:p>
        </w:tc>
        <w:tc>
          <w:tcPr/>
          <w:p w:rsidR="00000000" w:rsidDel="00000000" w:rsidP="00000000" w:rsidRDefault="00000000" w:rsidRPr="00000000" w14:paraId="00000042">
            <w:pPr>
              <w:rPr/>
            </w:pPr>
            <w:r w:rsidDel="00000000" w:rsidR="00000000" w:rsidRPr="00000000">
              <w:rPr>
                <w:rtl w:val="0"/>
              </w:rPr>
              <w:t xml:space="preserve">/</w:t>
            </w:r>
          </w:p>
        </w:tc>
      </w:tr>
    </w:tbl>
    <w:p w:rsidR="00000000" w:rsidDel="00000000" w:rsidP="00000000" w:rsidRDefault="00000000" w:rsidRPr="00000000" w14:paraId="00000043">
      <w:pPr>
        <w:tabs>
          <w:tab w:val="left" w:leader="none" w:pos="1620"/>
        </w:tabs>
        <w:spacing w:after="0" w:lineRule="auto"/>
        <w:rPr/>
      </w:pPr>
      <w:r w:rsidDel="00000000" w:rsidR="00000000" w:rsidRPr="00000000">
        <w:rPr>
          <w:rtl w:val="0"/>
        </w:rPr>
      </w:r>
    </w:p>
    <w:p w:rsidR="00000000" w:rsidDel="00000000" w:rsidP="00000000" w:rsidRDefault="00000000" w:rsidRPr="00000000" w14:paraId="00000044">
      <w:pPr>
        <w:tabs>
          <w:tab w:val="left" w:leader="none" w:pos="1620"/>
        </w:tabs>
        <w:rPr/>
      </w:pPr>
      <w:r w:rsidDel="00000000" w:rsidR="00000000" w:rsidRPr="00000000">
        <w:rPr>
          <w:rtl w:val="0"/>
        </w:rPr>
      </w:r>
    </w:p>
    <w:p w:rsidR="00000000" w:rsidDel="00000000" w:rsidP="00000000" w:rsidRDefault="00000000" w:rsidRPr="00000000" w14:paraId="00000045">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6">
            <w:pPr>
              <w:rPr>
                <w:color w:val="f2f2f2"/>
                <w:sz w:val="24"/>
                <w:szCs w:val="24"/>
              </w:rPr>
            </w:pPr>
            <w:r w:rsidDel="00000000" w:rsidR="00000000" w:rsidRPr="00000000">
              <w:rPr>
                <w:color w:val="f2f2f2"/>
                <w:sz w:val="24"/>
                <w:szCs w:val="24"/>
                <w:rtl w:val="0"/>
              </w:rPr>
              <w:t xml:space="preserve">CONTENUTI DELL’UNITÀ  </w:t>
            </w:r>
          </w:p>
        </w:tc>
      </w:tr>
      <w:tr>
        <w:trPr>
          <w:cantSplit w:val="0"/>
          <w:trHeight w:val="410" w:hRule="atLeast"/>
          <w:tblHeader w:val="0"/>
        </w:trPr>
        <w:tc>
          <w:tcPr/>
          <w:p w:rsidR="00000000" w:rsidDel="00000000" w:rsidP="00000000" w:rsidRDefault="00000000" w:rsidRPr="00000000" w14:paraId="00000048">
            <w:pPr>
              <w:rPr/>
            </w:pPr>
            <w:r w:rsidDel="00000000" w:rsidR="00000000" w:rsidRPr="00000000">
              <w:rPr>
                <w:rtl w:val="0"/>
              </w:rPr>
              <w:t xml:space="preserve">Introduzione</w:t>
            </w:r>
          </w:p>
        </w:tc>
        <w:tc>
          <w:tcPr/>
          <w:p w:rsidR="00000000" w:rsidDel="00000000" w:rsidP="00000000" w:rsidRDefault="00000000" w:rsidRPr="00000000" w14:paraId="00000049">
            <w:pPr>
              <w:spacing w:after="200" w:lineRule="auto"/>
              <w:rPr/>
            </w:pPr>
            <w:r w:rsidDel="00000000" w:rsidR="00000000" w:rsidRPr="00000000">
              <w:rPr>
                <w:rtl w:val="0"/>
              </w:rPr>
              <w:t xml:space="preserve">Offri una breve panoramica sull’argomento e sul contesto della lezione. Spiega le ragioni per cui l’argomento trattato è importante e come si collega alle conoscenze precedentemente sviluppate.</w:t>
            </w:r>
          </w:p>
        </w:tc>
      </w:tr>
      <w:tr>
        <w:trPr>
          <w:cantSplit w:val="0"/>
          <w:trHeight w:val="417" w:hRule="atLeast"/>
          <w:tblHeader w:val="0"/>
        </w:trPr>
        <w:tc>
          <w:tcPr/>
          <w:p w:rsidR="00000000" w:rsidDel="00000000" w:rsidP="00000000" w:rsidRDefault="00000000" w:rsidRPr="00000000" w14:paraId="0000004A">
            <w:pPr>
              <w:rPr/>
            </w:pPr>
            <w:r w:rsidDel="00000000" w:rsidR="00000000" w:rsidRPr="00000000">
              <w:rPr>
                <w:rtl w:val="0"/>
              </w:rPr>
              <w:t xml:space="preserve">Attività</w:t>
            </w:r>
          </w:p>
          <w:p w:rsidR="00000000" w:rsidDel="00000000" w:rsidP="00000000" w:rsidRDefault="00000000" w:rsidRPr="00000000" w14:paraId="0000004B">
            <w:pPr>
              <w:rPr/>
            </w:pPr>
            <w:r w:rsidDel="00000000" w:rsidR="00000000" w:rsidRPr="00000000">
              <w:rPr>
                <w:rtl w:val="0"/>
              </w:rPr>
            </w:r>
          </w:p>
        </w:tc>
        <w:tc>
          <w:tcPr/>
          <w:p w:rsidR="00000000" w:rsidDel="00000000" w:rsidP="00000000" w:rsidRDefault="00000000" w:rsidRPr="00000000" w14:paraId="0000004C">
            <w:pPr>
              <w:rPr/>
            </w:pPr>
            <w:r w:rsidDel="00000000" w:rsidR="00000000" w:rsidRPr="00000000">
              <w:rPr>
                <w:rtl w:val="0"/>
              </w:rPr>
              <w:t xml:space="preserve">Attività 1: Sviluppo di uno scenario di apprendimento (slide 4) </w:t>
            </w:r>
          </w:p>
          <w:p w:rsidR="00000000" w:rsidDel="00000000" w:rsidP="00000000" w:rsidRDefault="00000000" w:rsidRPr="00000000" w14:paraId="0000004D">
            <w:pPr>
              <w:rPr/>
            </w:pPr>
            <w:r w:rsidDel="00000000" w:rsidR="00000000" w:rsidRPr="00000000">
              <w:rPr>
                <w:rtl w:val="0"/>
              </w:rPr>
              <w:t xml:space="preserve">Tempo stimato: 50 minuti</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Le e i partecipanti lavoreranno in gruppi  (come indicato nell'attività 2) e ciascun gruppo è tenuto a scegliere un argomento (rilevante per il progetto) per il proprio piano di lezione.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Successivamente, la formatrice o il formatore spiega le fasi dell’attività e guida le e i partecipanti attraverso il suo svolgimento.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Al termine dell’attività la formatrice o il formatore dovrebbe valutare i piani di lezione e aiutare i gruppi a finalizzarli (se necessario).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b w:val="1"/>
                <w:rtl w:val="0"/>
              </w:rPr>
              <w:t xml:space="preserve">Risultato</w:t>
            </w:r>
            <w:r w:rsidDel="00000000" w:rsidR="00000000" w:rsidRPr="00000000">
              <w:rPr>
                <w:rtl w:val="0"/>
              </w:rPr>
              <w:t xml:space="preserve">: le e i discenti approfondiranno il processo di sviluppo di uno scenario di apprendimento includendo gli elementi menzionati nell’attività 3. </w:t>
            </w:r>
          </w:p>
          <w:p w:rsidR="00000000" w:rsidDel="00000000" w:rsidP="00000000" w:rsidRDefault="00000000" w:rsidRPr="00000000" w14:paraId="00000056">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57">
            <w:pPr>
              <w:rPr/>
            </w:pPr>
            <w:r w:rsidDel="00000000" w:rsidR="00000000" w:rsidRPr="00000000">
              <w:rPr>
                <w:rtl w:val="0"/>
              </w:rPr>
              <w:t xml:space="preserve">Valutazione</w:t>
            </w:r>
          </w:p>
        </w:tc>
        <w:tc>
          <w:tcPr/>
          <w:p w:rsidR="00000000" w:rsidDel="00000000" w:rsidP="00000000" w:rsidRDefault="00000000" w:rsidRPr="00000000" w14:paraId="00000058">
            <w:pPr>
              <w:rPr/>
            </w:pPr>
            <w:r w:rsidDel="00000000" w:rsidR="00000000" w:rsidRPr="00000000">
              <w:rPr>
                <w:rtl w:val="0"/>
              </w:rPr>
              <w:t xml:space="preserve">Valutare la comprensione mediante l’uso di quiz, discussioni o momenti di valutazione formativa o sommativa. </w:t>
            </w:r>
          </w:p>
        </w:tc>
      </w:tr>
    </w:tbl>
    <w:p w:rsidR="00000000" w:rsidDel="00000000" w:rsidP="00000000" w:rsidRDefault="00000000" w:rsidRPr="00000000" w14:paraId="00000059">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5A">
            <w:pPr>
              <w:rPr>
                <w:color w:val="f2f2f2"/>
                <w:sz w:val="24"/>
                <w:szCs w:val="24"/>
              </w:rPr>
            </w:pPr>
            <w:r w:rsidDel="00000000" w:rsidR="00000000" w:rsidRPr="00000000">
              <w:rPr>
                <w:color w:val="f2f2f2"/>
                <w:sz w:val="24"/>
                <w:szCs w:val="24"/>
                <w:rtl w:val="0"/>
              </w:rPr>
              <w:t xml:space="preserve">INSEGNAMENTI CHIAVE</w:t>
            </w:r>
          </w:p>
        </w:tc>
      </w:tr>
      <w:tr>
        <w:trPr>
          <w:cantSplit w:val="0"/>
          <w:trHeight w:val="410" w:hRule="atLeast"/>
          <w:tblHeader w:val="0"/>
        </w:trPr>
        <w:tc>
          <w:tcPr/>
          <w:p w:rsidR="00000000" w:rsidDel="00000000" w:rsidP="00000000" w:rsidRDefault="00000000" w:rsidRPr="00000000" w14:paraId="0000005C">
            <w:pPr>
              <w:rPr>
                <w:color w:val="f2f2f2"/>
                <w:sz w:val="24"/>
                <w:szCs w:val="24"/>
              </w:rPr>
            </w:pPr>
            <w:r w:rsidDel="00000000" w:rsidR="00000000" w:rsidRPr="00000000">
              <w:rPr>
                <w:rtl w:val="0"/>
              </w:rPr>
              <w:t xml:space="preserve">Riflessioni e conclusione</w:t>
            </w:r>
            <w:r w:rsidDel="00000000" w:rsidR="00000000" w:rsidRPr="00000000">
              <w:rPr>
                <w:rtl w:val="0"/>
              </w:rPr>
            </w:r>
          </w:p>
        </w:tc>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color w:val="000000"/>
                <w:sz w:val="24"/>
                <w:szCs w:val="24"/>
              </w:rPr>
            </w:pPr>
            <w:bookmarkStart w:colFirst="0" w:colLast="0" w:name="_heading=h.cs5ne7va67ru" w:id="0"/>
            <w:bookmarkEnd w:id="0"/>
            <w:r w:rsidDel="00000000" w:rsidR="00000000" w:rsidRPr="00000000">
              <w:rPr>
                <w:rtl w:val="0"/>
              </w:rPr>
              <w:t xml:space="preserve">Valutare la comprensione attraverso quiz, discussioni e valutazioni formative o sommative. I partecipanti rifletteranno sulla loro esperienza di sviluppo di uno scenario di apprendimento dall'inizio e sulla valutazione tra pari dello scenario di apprendimento di un altro gruppo.</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5E">
            <w:pPr>
              <w:rPr/>
            </w:pPr>
            <w:r w:rsidDel="00000000" w:rsidR="00000000" w:rsidRPr="00000000">
              <w:rPr>
                <w:rtl w:val="0"/>
              </w:rPr>
              <w:t xml:space="preserve">Compiti aggiuntivi</w:t>
            </w:r>
          </w:p>
        </w:tc>
        <w:tc>
          <w:tcPr/>
          <w:p w:rsidR="00000000" w:rsidDel="00000000" w:rsidP="00000000" w:rsidRDefault="00000000" w:rsidRPr="00000000" w14:paraId="0000005F">
            <w:pPr>
              <w:rPr/>
            </w:pPr>
            <w:r w:rsidDel="00000000" w:rsidR="00000000" w:rsidRPr="00000000">
              <w:rPr>
                <w:rtl w:val="0"/>
              </w:rPr>
              <w:t xml:space="preserve">/</w:t>
            </w:r>
          </w:p>
        </w:tc>
      </w:tr>
    </w:tbl>
    <w:p w:rsidR="00000000" w:rsidDel="00000000" w:rsidP="00000000" w:rsidRDefault="00000000" w:rsidRPr="00000000" w14:paraId="00000060">
      <w:pPr>
        <w:rPr>
          <w:i w:val="1"/>
        </w:rPr>
      </w:pPr>
      <w:r w:rsidDel="00000000" w:rsidR="00000000" w:rsidRPr="00000000">
        <w:rPr>
          <w:rtl w:val="0"/>
        </w:rPr>
      </w:r>
    </w:p>
    <w:sectPr>
      <w:headerReference r:id="rId12" w:type="default"/>
      <w:footerReference r:id="rId13"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647700</wp:posOffset>
              </wp:positionH>
              <wp:positionV relativeFrom="paragraph">
                <wp:posOffset>0</wp:posOffset>
              </wp:positionV>
              <wp:extent cx="5586095" cy="838200"/>
              <wp:effectExtent b="0" l="0" r="0" t="0"/>
              <wp:wrapNone/>
              <wp:docPr id="1597007113"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647700</wp:posOffset>
              </wp:positionH>
              <wp:positionV relativeFrom="paragraph">
                <wp:posOffset>0</wp:posOffset>
              </wp:positionV>
              <wp:extent cx="5586095" cy="838200"/>
              <wp:effectExtent b="0" l="0" r="0" t="0"/>
              <wp:wrapNone/>
              <wp:docPr id="1597007113"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86095" cy="8382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-645771</wp:posOffset>
          </wp:positionH>
          <wp:positionV relativeFrom="paragraph">
            <wp:posOffset>144780</wp:posOffset>
          </wp:positionV>
          <wp:extent cx="1311570" cy="506095"/>
          <wp:effectExtent b="0" l="0" r="0" t="0"/>
          <wp:wrapNone/>
          <wp:docPr id="1597007116"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1">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it"/>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Intestazione">
    <w:name w:val="header"/>
    <w:basedOn w:val="Normale"/>
    <w:link w:val="IntestazioneCarattere"/>
    <w:uiPriority w:val="99"/>
    <w:unhideWhenUsed w:val="1"/>
    <w:rsid w:val="000E72EE"/>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0E72EE"/>
  </w:style>
  <w:style w:type="paragraph" w:styleId="Pidipagina">
    <w:name w:val="footer"/>
    <w:basedOn w:val="Normale"/>
    <w:link w:val="PidipaginaCarattere"/>
    <w:uiPriority w:val="99"/>
    <w:unhideWhenUsed w:val="1"/>
    <w:rsid w:val="000E72EE"/>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0E72EE"/>
  </w:style>
  <w:style w:type="character" w:styleId="Titolo1Carattere" w:customStyle="1">
    <w:name w:val="Titolo 1 Carattere"/>
    <w:basedOn w:val="Carpredefinitoparagrafo"/>
    <w:link w:val="Titolo1"/>
    <w:uiPriority w:val="9"/>
    <w:rsid w:val="001C523D"/>
    <w:rPr>
      <w:rFonts w:ascii="Calibri" w:hAnsi="Calibri"/>
      <w:b w:val="1"/>
      <w:color w:val="16c45b" w:themeColor="accent6"/>
      <w:sz w:val="36"/>
      <w:szCs w:val="36"/>
    </w:rPr>
  </w:style>
  <w:style w:type="character" w:styleId="Titolo2Carattere" w:customStyle="1">
    <w:name w:val="Titolo 2 Carattere"/>
    <w:basedOn w:val="Carpredefinitoparagrafo"/>
    <w:link w:val="Titolo2"/>
    <w:uiPriority w:val="9"/>
    <w:rsid w:val="00986B82"/>
    <w:rPr>
      <w:rFonts w:ascii="Calibri" w:hAnsi="Calibri"/>
      <w:b w:val="1"/>
      <w:color w:val="16c45b" w:themeColor="accent3"/>
      <w:sz w:val="28"/>
      <w:szCs w:val="32"/>
    </w:rPr>
  </w:style>
  <w:style w:type="character" w:styleId="Titolo3Carattere" w:customStyle="1">
    <w:name w:val="Titolo 3 Carattere"/>
    <w:basedOn w:val="Carpredefinitoparagrafo"/>
    <w:link w:val="Titolo3"/>
    <w:uiPriority w:val="9"/>
    <w:rsid w:val="00986B82"/>
    <w:rPr>
      <w:rFonts w:ascii="Calibri" w:hAnsi="Calibri"/>
      <w:b w:val="1"/>
      <w:i w:val="1"/>
      <w:color w:val="1d1d1b" w:themeColor="accent2"/>
      <w:sz w:val="26"/>
      <w:szCs w:val="28"/>
    </w:rPr>
  </w:style>
  <w:style w:type="character" w:styleId="Titolo4Carattere" w:customStyle="1">
    <w:name w:val="Titolo 4 Carattere"/>
    <w:basedOn w:val="Carpredefinitoparagrafo"/>
    <w:link w:val="Titolo4"/>
    <w:uiPriority w:val="9"/>
    <w:rsid w:val="00986B82"/>
    <w:rPr>
      <w:rFonts w:ascii="Calibri" w:hAnsi="Calibri"/>
      <w:b w:val="1"/>
      <w:i w:val="1"/>
      <w:color w:val="2b454e" w:themeColor="accent4"/>
      <w:sz w:val="24"/>
      <w:szCs w:val="28"/>
    </w:rPr>
  </w:style>
  <w:style w:type="paragraph" w:styleId="Paragrafoelenco">
    <w:name w:val="List Paragraph"/>
    <w:basedOn w:val="Normale"/>
    <w:uiPriority w:val="34"/>
    <w:qFormat w:val="1"/>
    <w:rsid w:val="00B22564"/>
    <w:pPr>
      <w:ind w:left="720"/>
      <w:contextualSpacing w:val="1"/>
    </w:pPr>
  </w:style>
  <w:style w:type="table" w:styleId="Grigliatabella">
    <w:name w:val="Table Grid"/>
    <w:basedOn w:val="Tabellanormale"/>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Hyperlink"/>
    <w:basedOn w:val="Carpredefinitoparagrafo"/>
    <w:uiPriority w:val="99"/>
    <w:unhideWhenUsed w:val="1"/>
    <w:rsid w:val="001C523D"/>
    <w:rPr>
      <w:color w:val="16c45b" w:themeColor="hyperlink"/>
      <w:u w:val="single"/>
    </w:rPr>
  </w:style>
  <w:style w:type="paragraph" w:styleId="Sommario1">
    <w:name w:val="toc 1"/>
    <w:basedOn w:val="Normale"/>
    <w:next w:val="Normale"/>
    <w:autoRedefine w:val="1"/>
    <w:uiPriority w:val="39"/>
    <w:unhideWhenUsed w:val="1"/>
    <w:rsid w:val="00986B82"/>
    <w:pPr>
      <w:spacing w:after="100"/>
    </w:pPr>
    <w:rPr>
      <w:rFonts w:asciiTheme="minorHAnsi" w:hAnsiTheme="minorHAnsi"/>
      <w:b w:val="1"/>
      <w:color w:val="16c45b" w:themeColor="accent6"/>
      <w:sz w:val="36"/>
    </w:rPr>
  </w:style>
  <w:style w:type="paragraph" w:styleId="Sommario2">
    <w:name w:val="toc 2"/>
    <w:basedOn w:val="Normale"/>
    <w:next w:val="Normale"/>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Sommario3">
    <w:name w:val="toc 3"/>
    <w:basedOn w:val="Normale"/>
    <w:next w:val="Normale"/>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eWeb">
    <w:name w:val="Normal (Web)"/>
    <w:basedOn w:val="Normale"/>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Titolo5Carattere" w:customStyle="1">
    <w:name w:val="Titolo 5 Carattere"/>
    <w:basedOn w:val="Carpredefinitoparagrafo"/>
    <w:link w:val="Titolo5"/>
    <w:uiPriority w:val="9"/>
    <w:rsid w:val="00986B82"/>
    <w:rPr>
      <w:rFonts w:ascii="Calibri" w:hAnsi="Calibri" w:cstheme="majorBidi" w:eastAsiaTheme="majorEastAsia"/>
      <w:color w:val="16c45b" w:themeColor="accent6"/>
    </w:rPr>
  </w:style>
  <w:style w:type="paragraph" w:styleId="Sommario4">
    <w:name w:val="toc 4"/>
    <w:basedOn w:val="Normale"/>
    <w:next w:val="Normale"/>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Sommario5">
    <w:name w:val="toc 5"/>
    <w:basedOn w:val="Normale"/>
    <w:next w:val="Normale"/>
    <w:autoRedefine w:val="1"/>
    <w:uiPriority w:val="39"/>
    <w:semiHidden w:val="1"/>
    <w:unhideWhenUsed w:val="1"/>
    <w:rsid w:val="00CA7C55"/>
    <w:pPr>
      <w:spacing w:after="100"/>
      <w:ind w:left="880"/>
    </w:pPr>
    <w:rPr>
      <w:rFonts w:asciiTheme="minorHAnsi" w:hAnsiTheme="minorHAnsi"/>
      <w:color w:val="16c45b" w:themeColor="accent6"/>
    </w:rPr>
  </w:style>
  <w:style w:type="paragraph" w:styleId="Nessunaspaziatura">
    <w:name w:val="No Spacing"/>
    <w:uiPriority w:val="1"/>
    <w:qFormat w:val="1"/>
    <w:rsid w:val="00BF096B"/>
    <w:pPr>
      <w:spacing w:after="0" w:line="240" w:lineRule="auto"/>
    </w:pPr>
    <w:rPr>
      <w:color w:val="1d1d1b" w:themeColor="text1"/>
    </w:rPr>
  </w:style>
  <w:style w:type="table" w:styleId="Tabellagriglia1chiara-colore6">
    <w:name w:val="Grid Table 1 Light Accent 6"/>
    <w:basedOn w:val="Tabellanormale"/>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Tabellagriglia5scura-colore6">
    <w:name w:val="Grid Table 5 Dark Accent 6"/>
    <w:basedOn w:val="Tabellanormale"/>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Titolo6Carattere" w:customStyle="1">
    <w:name w:val="Titolo 6 Carattere"/>
    <w:basedOn w:val="Carpredefinitoparagrafo"/>
    <w:link w:val="Titolo6"/>
    <w:uiPriority w:val="9"/>
    <w:semiHidden w:val="1"/>
    <w:rsid w:val="00BF096B"/>
    <w:rPr>
      <w:rFonts w:ascii="Calibri" w:hAnsi="Calibri" w:cstheme="majorBidi" w:eastAsiaTheme="majorEastAsia"/>
      <w:color w:val="0b612d" w:themeColor="accent1" w:themeShade="00007F"/>
    </w:rPr>
  </w:style>
  <w:style w:type="table" w:styleId="Tabellagriglia4-colore1">
    <w:name w:val="Grid Table 4 Accent 1"/>
    <w:basedOn w:val="Tabellanormale"/>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Collegamentovisitato">
    <w:name w:val="FollowedHyperlink"/>
    <w:basedOn w:val="Carpredefinitoparagrafo"/>
    <w:uiPriority w:val="99"/>
    <w:semiHidden w:val="1"/>
    <w:unhideWhenUsed w:val="1"/>
    <w:rsid w:val="00405D90"/>
    <w:rPr>
      <w:color w:val="16c45b" w:themeColor="followedHyperlink"/>
      <w:u w:val="single"/>
    </w:rPr>
  </w:style>
  <w:style w:type="paragraph" w:styleId="Style1" w:customStyle="1">
    <w:name w:val="Style1"/>
    <w:basedOn w:val="Normale"/>
    <w:qFormat w:val="1"/>
    <w:rsid w:val="001C523D"/>
    <w:pPr>
      <w:jc w:val="right"/>
    </w:pPr>
    <w:rPr>
      <w:color w:val="16c45b" w:themeColor="accent3"/>
    </w:rPr>
  </w:style>
  <w:style w:type="character" w:styleId="UnresolvedMention1" w:customStyle="1">
    <w:name w:val="Unresolved Mention1"/>
    <w:basedOn w:val="Carpredefinitoparagrafo"/>
    <w:uiPriority w:val="99"/>
    <w:semiHidden w:val="1"/>
    <w:unhideWhenUsed w:val="1"/>
    <w:rsid w:val="001C523D"/>
    <w:rPr>
      <w:color w:val="605e5c"/>
      <w:shd w:color="auto" w:fill="e1dfdd" w:val="clear"/>
    </w:rPr>
  </w:style>
  <w:style w:type="table" w:styleId="Tabellagriglia4-colore2">
    <w:name w:val="Grid Table 4 Accent 2"/>
    <w:basedOn w:val="Tabellanormale"/>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Tabellagriglia4-colore4">
    <w:name w:val="Grid Table 4 Accent 4"/>
    <w:basedOn w:val="Tabellanormale"/>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Tabellagriglia4-colore3">
    <w:name w:val="Grid Table 4 Accent 3"/>
    <w:basedOn w:val="Tabellanormale"/>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itolosommario">
    <w:name w:val="TOC Heading"/>
    <w:basedOn w:val="Titolo1"/>
    <w:next w:val="Normale"/>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color w:val="1d1d1b" w:themeColor="text1"/>
      <w:sz w:val="20"/>
      <w:szCs w:val="20"/>
    </w:rPr>
  </w:style>
  <w:style w:type="character" w:styleId="Rimandocommento">
    <w:name w:val="annotation reference"/>
    <w:basedOn w:val="Carpredefinitoparagrafo"/>
    <w:uiPriority w:val="99"/>
    <w:semiHidden w:val="1"/>
    <w:unhideWhenUsed w:val="1"/>
    <w:rPr>
      <w:sz w:val="16"/>
      <w:szCs w:val="16"/>
    </w:rPr>
  </w:style>
  <w:style w:type="table" w:styleId="affff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sCWBeW8Tb9vtu96dF3N5OG_06tuew9iJ/edit#heading=h.gjdgxs" TargetMode="External"/><Relationship Id="rId10" Type="http://schemas.openxmlformats.org/officeDocument/2006/relationships/image" Target="media/image4.jp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syOjzuzoZLPJsxV1sUJaG0LtTg==">CgMxLjAyDmguY3M1bmU3dmE2N3J1OAByITFLaUVEZXlHdUlwU1hEdXItd1BkTHpsSEJxV1pDX0cwMA==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